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688F3398" w:rsidR="00485B1C" w:rsidRPr="00DB541A" w:rsidRDefault="00BD1FD7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 xml:space="preserve">Date : Vendredi </w:t>
      </w:r>
      <w:r w:rsidR="00F31B6E">
        <w:rPr>
          <w:rFonts w:ascii="Kristen ITC" w:hAnsi="Kristen ITC"/>
          <w:bCs/>
          <w:sz w:val="22"/>
          <w:szCs w:val="22"/>
        </w:rPr>
        <w:t>27</w:t>
      </w:r>
      <w:r w:rsidR="00485B1C">
        <w:rPr>
          <w:rFonts w:ascii="Kristen ITC" w:hAnsi="Kristen ITC"/>
          <w:bCs/>
          <w:sz w:val="22"/>
          <w:szCs w:val="22"/>
        </w:rPr>
        <w:t xml:space="preserve"> mars</w:t>
      </w:r>
    </w:p>
    <w:p w14:paraId="7D1BBB17" w14:textId="77777777" w:rsidR="00485B1C" w:rsidRPr="00033004" w:rsidRDefault="00485B1C" w:rsidP="00485B1C">
      <w:pPr>
        <w:rPr>
          <w:rFonts w:ascii="Kristen ITC" w:hAnsi="Kristen ITC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648"/>
      </w:tblGrid>
      <w:tr w:rsidR="00AA06A3" w:rsidRPr="00DB541A" w14:paraId="1180C09D" w14:textId="77777777" w:rsidTr="00AA06A3">
        <w:trPr>
          <w:trHeight w:val="28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AA06A3" w:rsidRPr="00DB541A" w14:paraId="03ED4DB7" w14:textId="77777777" w:rsidTr="00AA06A3">
        <w:trPr>
          <w:cantSplit/>
          <w:trHeight w:val="99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9555DC8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AFB98A6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11BEDB9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DA0D" w14:textId="250A1420" w:rsidR="002A426B" w:rsidRPr="00AA06A3" w:rsidRDefault="000C1251" w:rsidP="00BD21F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A l’oral</w:t>
            </w:r>
            <w:r w:rsidR="00BD1FD7" w:rsidRPr="00AA06A3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 </w:t>
            </w:r>
            <w:r w:rsidR="00BD1FD7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: 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Lire la date puis réciter les mois de l’anné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 à l’envers. Combien de jours a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une année ? Combien d’heures dans une journée ?</w:t>
            </w:r>
          </w:p>
          <w:p w14:paraId="51F37571" w14:textId="7BF204A9" w:rsidR="00485B1C" w:rsidRPr="00AA06A3" w:rsidRDefault="00BD1FD7" w:rsidP="00BD21F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Ecrire la date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s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ur le cahier rouge, décomposer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 nombre qui indique l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es jours d’école, aujourd’hui 95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jours d’école. (3 décompositions environ 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avec seulement 2 termes, une soustraction est possible sans trop insister.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)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 L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’utili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sation de l’ardoise est éventuellement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nécessaire.</w:t>
            </w:r>
          </w:p>
        </w:tc>
      </w:tr>
      <w:tr w:rsidR="00AA06A3" w:rsidRPr="00DB541A" w14:paraId="50540C30" w14:textId="77777777" w:rsidTr="00AA06A3">
        <w:trPr>
          <w:cantSplit/>
          <w:trHeight w:val="68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FD51" w14:textId="681EA72D" w:rsidR="00485B1C" w:rsidRPr="00513588" w:rsidRDefault="00485B1C" w:rsidP="00AA06A3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Cahier </w:t>
            </w:r>
            <w:r w:rsidR="00AA06A3">
              <w:rPr>
                <w:rFonts w:ascii="Kristen ITC" w:hAnsi="Kristen ITC"/>
                <w:lang w:eastAsia="en-US"/>
              </w:rPr>
              <w:t xml:space="preserve">         </w:t>
            </w:r>
            <w:r w:rsidRPr="00513588">
              <w:rPr>
                <w:rFonts w:ascii="Kristen ITC" w:hAnsi="Kristen ITC"/>
                <w:lang w:eastAsia="en-US"/>
              </w:rPr>
              <w:t>rouge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763" w14:textId="34FD298B" w:rsidR="00485B1C" w:rsidRPr="00AA06A3" w:rsidRDefault="002A426B" w:rsidP="00AA06A3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Ecriture : </w:t>
            </w:r>
            <w:r w:rsidR="00DD5AF9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histoire, voisin, moins, besoin + une phrase : Elles sont loin les étoiles.</w:t>
            </w: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AA06A3" w:rsidRPr="00DB541A" w14:paraId="57F81584" w14:textId="77777777" w:rsidTr="00AA06A3">
        <w:trPr>
          <w:cantSplit/>
          <w:trHeight w:val="289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1D8844B2" w14:textId="77777777" w:rsidR="00BD1FD7" w:rsidRDefault="00BD1FD7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0FC024ED" w14:textId="77777777" w:rsidR="00BD1FD7" w:rsidRDefault="00BD1FD7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77777777" w:rsidR="00485B1C" w:rsidRPr="00513588" w:rsidRDefault="00485B1C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A8E" w14:textId="1A4FC8C4" w:rsidR="002C3953" w:rsidRPr="00AA06A3" w:rsidRDefault="009F3708" w:rsidP="002C3953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Cahier rouge : </w:t>
            </w:r>
            <w:r w:rsidR="002C3953"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Top chrono.</w:t>
            </w:r>
            <w:r w:rsidR="002C395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DD5AF9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Dernière feuille photocopiée sinon voilà un exemple : 10+10 ; 10+5 ; 9+10 ; 8+8 ; 7+8 ; 3+3 ; 3+7 ; 4+7 ; 8+2. ; 5+5</w:t>
            </w:r>
            <w:r w:rsidR="001715E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</w:p>
          <w:p w14:paraId="03A2FCC9" w14:textId="1C7722AA" w:rsidR="001715ED" w:rsidRPr="00AA06A3" w:rsidRDefault="00D57FF0" w:rsidP="002C3953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Problème :fichier p123</w:t>
            </w:r>
            <w:r w:rsidR="001715E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BD1FD7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« 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La soustraction</w:t>
            </w:r>
            <w:r w:rsidR="00BD1FD7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»</w:t>
            </w:r>
            <w:r w:rsidR="005D4CE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;</w:t>
            </w:r>
          </w:p>
          <w:p w14:paraId="3D722817" w14:textId="0D961A5A" w:rsidR="00B4592B" w:rsidRPr="00AA06A3" w:rsidRDefault="00DB158D" w:rsidP="00B4592B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Rappel : Nous</w:t>
            </w:r>
            <w:r w:rsidR="00D57FF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les adultes on s’aperçoit 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dans ces soustractions </w:t>
            </w:r>
            <w:r w:rsidR="00D57FF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que le chiffre des unités du premier terme est plus petit que celui du second terme.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Mais </w:t>
            </w:r>
            <w:r w:rsidR="00D57FF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enfants ne le voient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pas,</w:t>
            </w:r>
            <w:r w:rsidR="00D57FF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ils regardent le premier nombre qui est plus grand que le second.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Donc dans un premier temps il n’est pas nécessaire d’insister sur ce point, certains enfants feront peut-être la remarque mais ce n’est pas le plus important. </w:t>
            </w:r>
          </w:p>
          <w:p w14:paraId="11CAE156" w14:textId="204477E8" w:rsidR="004E4F69" w:rsidRDefault="00D57FF0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Donc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la technique est la même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qu’hier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, simplement 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« 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on va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ouvrir un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e boite de dizaine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 xml:space="preserve"> pour voir l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es unités que l’on va prendre 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» afin de réaliser l’opération (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je préfère le terme ouvrir au lieu de –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casser-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car durant 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l’année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o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n a dit en classe que l’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on fermait la boite représentant une dizaine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quand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10 </w:t>
            </w:r>
            <w:r w:rsidR="00DB158D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unités se trouvaient à l’intérieur.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L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a dizaine 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ouverte est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représentée par la boite rose). 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L’exercice 2 est important car L</w:t>
            </w:r>
            <w:r w:rsidR="000330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es enfants doivent bien </w:t>
            </w:r>
            <w:r w:rsidR="00033004" w:rsidRPr="00033004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représenter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sur l’ardoise ou u</w:t>
            </w:r>
            <w:r w:rsidR="000853C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ne feuille, le premier nombre e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t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 xml:space="preserve"> ENSUITE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ils barrent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ce que l’on retranche</w:t>
            </w:r>
            <w:r w:rsidR="00B4592B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 Rappeler qu’ils n’ont pas besoin de représenter toutes les unités bleus dans les di</w:t>
            </w:r>
            <w:r w:rsidR="0093243A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zaines. </w:t>
            </w:r>
          </w:p>
          <w:p w14:paraId="44CF18D2" w14:textId="34487FB3" w:rsidR="000F47B5" w:rsidRPr="00AA06A3" w:rsidRDefault="0093243A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Il ne faut pas hésiter à manipuler. C’est une technique que </w:t>
            </w:r>
            <w:r w:rsidR="00326C65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l’on reve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rra après les vacances</w:t>
            </w:r>
            <w:r w:rsidR="00326C65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 Pas d’inquiétude à avoir </w:t>
            </w:r>
            <w:r w:rsidR="00326C65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sym w:font="Wingdings" w:char="F04A"/>
            </w:r>
          </w:p>
        </w:tc>
      </w:tr>
      <w:tr w:rsidR="00AA06A3" w:rsidRPr="00DB541A" w14:paraId="3071D511" w14:textId="77777777" w:rsidTr="00AA06A3">
        <w:trPr>
          <w:cantSplit/>
          <w:trHeight w:val="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AA06A3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AA06A3" w:rsidRPr="00DB541A" w14:paraId="05366C74" w14:textId="77777777" w:rsidTr="00AA06A3">
        <w:trPr>
          <w:cantSplit/>
          <w:trHeight w:val="198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083DB7E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D496" w14:textId="326965BE" w:rsidR="00846EB5" w:rsidRPr="00AA06A3" w:rsidRDefault="00326C65" w:rsidP="006B74B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Fichier p 91</w:t>
            </w:r>
            <w:r w:rsidR="00485B1C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.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Relire les mots de la page 91 en 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les pointant du doigt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au hasard. Pour chacun des exercices lire les consignes et les mots à haute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voix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 Pour l’exercice 2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lire les phrases à compléter avant d’écrire. Pour l’exercice 3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les enfants nomment les images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0737DD6E" w14:textId="255B72EC" w:rsidR="00485B1C" w:rsidRPr="00AA06A3" w:rsidRDefault="005D0980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Lire </w:t>
            </w:r>
            <w:r w:rsidR="00AA06A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leçon n°88</w:t>
            </w:r>
            <w:r w:rsidR="00485B1C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sur le cahier jaune.</w:t>
            </w:r>
            <w:r w:rsidR="00BD1FD7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</w:t>
            </w:r>
            <w:r w:rsidR="00BD1FD7"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Cette lecture peut être lu</w:t>
            </w:r>
            <w:r w:rsidR="00846EB5"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e</w:t>
            </w:r>
            <w:r w:rsidR="00BD1FD7"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à un autre moment de la journée.)</w:t>
            </w:r>
          </w:p>
        </w:tc>
      </w:tr>
      <w:tr w:rsidR="00AA06A3" w:rsidRPr="00DB541A" w14:paraId="6DBB1718" w14:textId="77777777" w:rsidTr="00AA06A3">
        <w:trPr>
          <w:cantSplit/>
          <w:trHeight w:val="134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FBD4" w14:textId="77777777" w:rsidR="00BD1FD7" w:rsidRDefault="00BD1FD7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</w:p>
          <w:p w14:paraId="44119E4E" w14:textId="6EBFF17E" w:rsidR="00485B1C" w:rsidRPr="00513588" w:rsidRDefault="005D0980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Art plastique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556D" w14:textId="75BB7F40" w:rsidR="00485B1C" w:rsidRPr="00AA06A3" w:rsidRDefault="005D0980" w:rsidP="004717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codes barres.</w:t>
            </w:r>
            <w:r w:rsidR="002C0EEB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(photo jointe)</w:t>
            </w:r>
          </w:p>
          <w:p w14:paraId="019252ED" w14:textId="7033DC78" w:rsidR="005D0980" w:rsidRPr="00AA06A3" w:rsidRDefault="005D0980" w:rsidP="00AA06A3">
            <w:pPr>
              <w:pStyle w:val="Liste"/>
              <w:widowControl/>
              <w:suppressAutoHyphens w:val="0"/>
              <w:spacing w:after="0" w:line="240" w:lineRule="auto"/>
              <w:ind w:right="-217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Cette activité peu se faire sur plusieurs jours. </w:t>
            </w:r>
          </w:p>
          <w:p w14:paraId="7F1ECFB1" w14:textId="21DAE967" w:rsidR="008A6B5F" w:rsidRPr="00AA06A3" w:rsidRDefault="005D0980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Rechercher sur des objets de </w:t>
            </w:r>
            <w:r w:rsidR="008A6B5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consommation des codes barres, expliquer leur utilité.</w:t>
            </w:r>
            <w:r w:rsidR="000330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Ensuite vous continuez l’activité en proposant différents moyens d’expressions :</w:t>
            </w:r>
          </w:p>
          <w:p w14:paraId="52557EC9" w14:textId="77777777" w:rsidR="008A6B5F" w:rsidRPr="00AA06A3" w:rsidRDefault="008A6B5F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Par exemple les découper pour en faire une composition</w:t>
            </w:r>
          </w:p>
          <w:p w14:paraId="0EBF0EBE" w14:textId="147C12BD" w:rsidR="008A6B5F" w:rsidRPr="00AA06A3" w:rsidRDefault="008A6B5F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dessiner a</w:t>
            </w:r>
            <w:r w:rsidR="005D098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vec les feutres, le</w:t>
            </w:r>
            <w:r w:rsidR="00AA06A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 crayons, la peinture.</w:t>
            </w:r>
          </w:p>
          <w:p w14:paraId="278ACA78" w14:textId="77777777" w:rsidR="008A6B5F" w:rsidRPr="00AA06A3" w:rsidRDefault="008A6B5F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détourner pour traduire une idée, une émotion</w:t>
            </w:r>
          </w:p>
          <w:p w14:paraId="72F2F558" w14:textId="1449B877" w:rsidR="005D0980" w:rsidRPr="00AA06A3" w:rsidRDefault="008A6B5F" w:rsidP="0003300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représenter en relief avec des objets</w:t>
            </w:r>
            <w:r w:rsidR="000330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(crayons, pâte à modeler spaghettis…)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Les œuvres pourront être montrées sur le site. </w:t>
            </w:r>
          </w:p>
        </w:tc>
      </w:tr>
      <w:tr w:rsidR="00AA06A3" w:rsidRPr="00DB541A" w14:paraId="430FD4A9" w14:textId="77777777" w:rsidTr="00AA06A3">
        <w:trPr>
          <w:cantSplit/>
          <w:trHeight w:val="7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1286252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AA06A3" w:rsidRPr="00DB541A" w14:paraId="563E1483" w14:textId="77777777" w:rsidTr="00AA06A3">
        <w:trPr>
          <w:cantSplit/>
          <w:trHeight w:val="183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CF7" w14:textId="77777777" w:rsidR="004C4F1F" w:rsidRPr="00AA06A3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sz w:val="22"/>
                <w:szCs w:val="22"/>
                <w:lang w:eastAsia="en-US"/>
              </w:rPr>
            </w:pPr>
          </w:p>
          <w:p w14:paraId="18E75BDB" w14:textId="77777777" w:rsidR="004C4F1F" w:rsidRPr="00AA06A3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sz w:val="22"/>
                <w:szCs w:val="22"/>
                <w:lang w:eastAsia="en-US"/>
              </w:rPr>
            </w:pPr>
          </w:p>
          <w:p w14:paraId="15BC7A12" w14:textId="7EBB9827" w:rsidR="004C4F1F" w:rsidRPr="00AA06A3" w:rsidRDefault="004C4F1F" w:rsidP="004C4F1F">
            <w:pPr>
              <w:spacing w:line="276" w:lineRule="auto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AA06A3">
              <w:rPr>
                <w:rFonts w:ascii="Kristen ITC" w:hAnsi="Kristen ITC"/>
                <w:b/>
                <w:sz w:val="22"/>
                <w:szCs w:val="22"/>
                <w:lang w:eastAsia="en-US"/>
              </w:rPr>
              <w:t xml:space="preserve">Devoirs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01" w14:textId="77777777" w:rsidR="004C4F1F" w:rsidRPr="00AA06A3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A écrire sur la cahier de texte </w:t>
            </w:r>
          </w:p>
          <w:p w14:paraId="005142E1" w14:textId="77C051A9" w:rsidR="004C4F1F" w:rsidRPr="00AA06A3" w:rsidRDefault="00AA06A3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Lundi30</w:t>
            </w:r>
            <w:r w:rsidR="004C4F1F"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/03 :</w:t>
            </w:r>
            <w:r w:rsidR="004C4F1F"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487F581A" w14:textId="05270B5C" w:rsidR="004C4F1F" w:rsidRPr="00AA06A3" w:rsidRDefault="00AA06A3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Lecture : lire leçon n° 88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5863B749" w14:textId="32B3D0B8" w:rsidR="004C4F1F" w:rsidRPr="00AA06A3" w:rsidRDefault="00AA06A3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mots : liste n°38 et savoir écrire en lettres 70</w:t>
            </w:r>
          </w:p>
          <w:p w14:paraId="047B4B95" w14:textId="02D4FE9E" w:rsidR="004C4F1F" w:rsidRPr="00AA06A3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Poésie :  A revoir</w:t>
            </w:r>
            <w:r w:rsidR="00AA06A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jusqu’à </w:t>
            </w:r>
            <w:r w:rsidR="00BB54F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« </w:t>
            </w:r>
            <w:r w:rsidR="00AA06A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grognon</w:t>
            </w:r>
            <w:r w:rsidR="00BB54F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»</w:t>
            </w:r>
          </w:p>
          <w:p w14:paraId="7669DC87" w14:textId="73A1E03A" w:rsidR="004C4F1F" w:rsidRPr="00AA06A3" w:rsidRDefault="004C4F1F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Mat</w:t>
            </w:r>
            <w:r w:rsidR="00AA06A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h : revoir +2, et +10 et compter les « bravo » obtenus depuis le 16 mars.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</w:t>
            </w:r>
            <w:r w:rsidR="00695175" w:rsidRP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sym w:font="Wingdings" w:char="F04A"/>
            </w:r>
            <w:bookmarkStart w:id="0" w:name="_GoBack"/>
            <w:bookmarkEnd w:id="0"/>
          </w:p>
        </w:tc>
      </w:tr>
    </w:tbl>
    <w:p w14:paraId="14C7CFF8" w14:textId="3F945051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33004"/>
    <w:rsid w:val="000853C0"/>
    <w:rsid w:val="000C1251"/>
    <w:rsid w:val="000F47B5"/>
    <w:rsid w:val="001715ED"/>
    <w:rsid w:val="00250E81"/>
    <w:rsid w:val="002A426B"/>
    <w:rsid w:val="002C0EEB"/>
    <w:rsid w:val="002C3953"/>
    <w:rsid w:val="00326C65"/>
    <w:rsid w:val="003C38E3"/>
    <w:rsid w:val="004717B9"/>
    <w:rsid w:val="00485B1C"/>
    <w:rsid w:val="004B7E3A"/>
    <w:rsid w:val="004C4F1F"/>
    <w:rsid w:val="004E4F69"/>
    <w:rsid w:val="004F36B2"/>
    <w:rsid w:val="005D0980"/>
    <w:rsid w:val="005D4CE3"/>
    <w:rsid w:val="00620E2D"/>
    <w:rsid w:val="00695175"/>
    <w:rsid w:val="006B74B8"/>
    <w:rsid w:val="00814D6D"/>
    <w:rsid w:val="00846EB5"/>
    <w:rsid w:val="0085041A"/>
    <w:rsid w:val="008A6B5F"/>
    <w:rsid w:val="0093243A"/>
    <w:rsid w:val="00972CD6"/>
    <w:rsid w:val="009A3C78"/>
    <w:rsid w:val="009F3708"/>
    <w:rsid w:val="00A16C08"/>
    <w:rsid w:val="00AA06A3"/>
    <w:rsid w:val="00B4592B"/>
    <w:rsid w:val="00BB54F4"/>
    <w:rsid w:val="00BD0289"/>
    <w:rsid w:val="00BD1FD7"/>
    <w:rsid w:val="00BD21F5"/>
    <w:rsid w:val="00C64EFF"/>
    <w:rsid w:val="00D57FF0"/>
    <w:rsid w:val="00D85278"/>
    <w:rsid w:val="00DB158D"/>
    <w:rsid w:val="00DD5AF9"/>
    <w:rsid w:val="00EA515E"/>
    <w:rsid w:val="00EC3A20"/>
    <w:rsid w:val="00F31B6E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485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22</cp:revision>
  <dcterms:created xsi:type="dcterms:W3CDTF">2020-03-19T18:57:00Z</dcterms:created>
  <dcterms:modified xsi:type="dcterms:W3CDTF">2020-03-26T18:37:00Z</dcterms:modified>
</cp:coreProperties>
</file>